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84" w:rsidRPr="00AE5962" w:rsidRDefault="00627A84" w:rsidP="00627A84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  <w:lang w:val="sr"/>
        </w:rPr>
        <w:br/>
      </w:r>
      <w:r>
        <w:rPr>
          <w:rFonts w:cs="Calibri"/>
          <w:b/>
          <w:bCs/>
          <w:sz w:val="24"/>
          <w:szCs w:val="24"/>
          <w:lang w:val="sr"/>
        </w:rPr>
        <w:t xml:space="preserve">ПАРЛАМЕНТАРНИ ОДБОР </w:t>
      </w:r>
      <w:r>
        <w:rPr>
          <w:rFonts w:cs="Calibri"/>
          <w:sz w:val="24"/>
          <w:szCs w:val="24"/>
          <w:lang w:val="sr"/>
        </w:rPr>
        <w:br/>
      </w:r>
      <w:r>
        <w:rPr>
          <w:rFonts w:cs="Calibri"/>
          <w:b/>
          <w:bCs/>
          <w:sz w:val="24"/>
          <w:szCs w:val="24"/>
          <w:lang w:val="sr"/>
        </w:rPr>
        <w:t>ЗА СТАБИЛИЗАЦИЈУ И ПРИДРУЖИВАЊЕ ЕВРОПСКЕ УНИЈЕ</w:t>
      </w:r>
      <w:r>
        <w:rPr>
          <w:rFonts w:cs="Calibri"/>
          <w:sz w:val="24"/>
          <w:szCs w:val="24"/>
          <w:lang w:val="sr"/>
        </w:rPr>
        <w:br/>
      </w:r>
      <w:r>
        <w:rPr>
          <w:rFonts w:cs="Calibri"/>
          <w:b/>
          <w:bCs/>
          <w:sz w:val="24"/>
          <w:szCs w:val="24"/>
          <w:lang w:val="sr"/>
        </w:rPr>
        <w:t xml:space="preserve"> И СРБИЈЕ (ПОСП)</w:t>
      </w:r>
      <w:r>
        <w:rPr>
          <w:rFonts w:cs="Calibri"/>
          <w:sz w:val="24"/>
          <w:szCs w:val="24"/>
          <w:lang w:val="sr"/>
        </w:rPr>
        <w:br/>
      </w:r>
    </w:p>
    <w:p w:rsidR="00627A84" w:rsidRPr="00AE5962" w:rsidRDefault="00627A84" w:rsidP="00627A84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8. састанак</w:t>
      </w:r>
    </w:p>
    <w:p w:rsidR="00627A84" w:rsidRPr="00AE5962" w:rsidRDefault="00627A84" w:rsidP="00627A84">
      <w:pPr>
        <w:spacing w:line="240" w:lineRule="auto"/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13-14. јун 2018.</w:t>
      </w:r>
      <w:r>
        <w:rPr>
          <w:rFonts w:cs="Calibri"/>
          <w:sz w:val="24"/>
          <w:szCs w:val="24"/>
          <w:lang w:val="sr"/>
        </w:rPr>
        <w:br/>
        <w:t>Стразбур</w:t>
      </w:r>
    </w:p>
    <w:p w:rsidR="00627A84" w:rsidRPr="00AE5962" w:rsidRDefault="00627A84" w:rsidP="00627A84">
      <w:pPr>
        <w:jc w:val="center"/>
        <w:outlineLvl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sr"/>
        </w:rPr>
        <w:t>ДЕКЛАРАЦИЈA и ПРЕПОРУКE</w:t>
      </w:r>
    </w:p>
    <w:p w:rsidR="00627A84" w:rsidRPr="00AE5962" w:rsidRDefault="00627A84" w:rsidP="00627A8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 xml:space="preserve">Парламентарни одбор за стабилизацију и придруживање Европске уније и Србије (ПОСП) одржао је свој осми састанак 13. и 14. јуна 2018. године у Стразбуру којим су копредседавали г. Едвард КУКАН, испред делегације Европског парламента, и г. Владимир ОРЛИЋ, испред делегације Народне скупштине Републике Србије. </w:t>
      </w:r>
    </w:p>
    <w:p w:rsidR="00627A84" w:rsidRPr="00AE5962" w:rsidRDefault="00627A84" w:rsidP="00627A8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У размени ставова са Одбором учествовали су:</w:t>
      </w:r>
    </w:p>
    <w:p w:rsidR="00627A84" w:rsidRPr="00AE5962" w:rsidRDefault="00627A84" w:rsidP="00627A84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cs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  <w:lang w:val="sr"/>
        </w:rPr>
        <w:t>Гђа Емилија КРАЛЕВА</w:t>
      </w:r>
      <w:r>
        <w:rPr>
          <w:rFonts w:eastAsia="Times New Roman" w:cs="Calibri"/>
          <w:sz w:val="24"/>
          <w:szCs w:val="24"/>
          <w:lang w:val="sr"/>
        </w:rPr>
        <w:t>, заменик министра спољних послова</w:t>
      </w:r>
      <w:r>
        <w:rPr>
          <w:rFonts w:eastAsia="Times New Roman" w:cs="Calibri"/>
          <w:sz w:val="24"/>
          <w:szCs w:val="24"/>
          <w:lang w:val="sr"/>
        </w:rPr>
        <w:br/>
        <w:t>у име бугарског председавања Савету,</w:t>
      </w:r>
    </w:p>
    <w:p w:rsidR="00627A84" w:rsidRPr="00AE5962" w:rsidRDefault="00627A84" w:rsidP="00627A84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sr"/>
        </w:rPr>
        <w:t>Гђа Ђеновева РУИЗ КАЛАВЕРА</w:t>
      </w:r>
      <w:r>
        <w:rPr>
          <w:rFonts w:cs="Calibri"/>
          <w:sz w:val="24"/>
          <w:szCs w:val="24"/>
          <w:lang w:val="sr"/>
        </w:rPr>
        <w:t xml:space="preserve">, директор за Западни Балкан, </w:t>
      </w:r>
      <w:r>
        <w:rPr>
          <w:rFonts w:cs="Calibri"/>
          <w:sz w:val="24"/>
          <w:szCs w:val="24"/>
          <w:lang w:val="sr"/>
        </w:rPr>
        <w:br/>
        <w:t>Генерални директорат за политику суседства и преговоре о проширењу, </w:t>
      </w:r>
      <w:r>
        <w:rPr>
          <w:rFonts w:cs="Calibri"/>
          <w:sz w:val="24"/>
          <w:szCs w:val="24"/>
          <w:lang w:val="sr"/>
        </w:rPr>
        <w:br/>
        <w:t>у име Европске комисије,</w:t>
      </w:r>
    </w:p>
    <w:p w:rsidR="00627A84" w:rsidRPr="008F71F4" w:rsidRDefault="00627A84" w:rsidP="00627A84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cs="Calibri"/>
          <w:sz w:val="24"/>
          <w:szCs w:val="24"/>
        </w:rPr>
      </w:pPr>
      <w:r>
        <w:rPr>
          <w:b/>
          <w:bCs/>
          <w:sz w:val="24"/>
          <w:szCs w:val="24"/>
          <w:lang w:val="sr"/>
        </w:rPr>
        <w:t>Гђа Ања РОВИЋ</w:t>
      </w:r>
      <w:r w:rsidR="009A161F">
        <w:rPr>
          <w:sz w:val="24"/>
          <w:szCs w:val="24"/>
          <w:lang w:val="sr"/>
        </w:rPr>
        <w:t xml:space="preserve">, </w:t>
      </w:r>
      <w:r w:rsidR="009A161F">
        <w:rPr>
          <w:sz w:val="24"/>
          <w:szCs w:val="24"/>
          <w:lang w:val="sr-Cyrl-RS"/>
        </w:rPr>
        <w:t>д</w:t>
      </w:r>
      <w:r w:rsidR="009A161F">
        <w:rPr>
          <w:sz w:val="24"/>
          <w:szCs w:val="24"/>
          <w:lang w:val="sr"/>
        </w:rPr>
        <w:t xml:space="preserve">ржавни </w:t>
      </w:r>
      <w:r w:rsidR="009A161F">
        <w:rPr>
          <w:sz w:val="24"/>
          <w:szCs w:val="24"/>
          <w:lang w:val="sr-Cyrl-RS"/>
        </w:rPr>
        <w:t>с</w:t>
      </w:r>
      <w:r w:rsidR="009A161F">
        <w:rPr>
          <w:sz w:val="24"/>
          <w:szCs w:val="24"/>
          <w:lang w:val="sr"/>
        </w:rPr>
        <w:t xml:space="preserve">екретар, Министарство за </w:t>
      </w:r>
      <w:r w:rsidR="009A161F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"/>
        </w:rPr>
        <w:t>вропске интеграције</w:t>
      </w:r>
      <w:r w:rsidR="009A161F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"/>
        </w:rPr>
        <w:br/>
        <w:t>у име Владе Србије,</w:t>
      </w:r>
    </w:p>
    <w:p w:rsidR="00627A84" w:rsidRPr="00AE5962" w:rsidRDefault="00627A84" w:rsidP="00627A84">
      <w:pPr>
        <w:numPr>
          <w:ilvl w:val="0"/>
          <w:numId w:val="1"/>
        </w:numPr>
        <w:spacing w:after="120" w:line="276" w:lineRule="auto"/>
        <w:ind w:left="709" w:hanging="357"/>
        <w:contextualSpacing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lang w:val="sr"/>
        </w:rPr>
        <w:t>Г. Едвард АУЕР</w:t>
      </w:r>
      <w:r>
        <w:rPr>
          <w:sz w:val="24"/>
          <w:szCs w:val="24"/>
          <w:lang w:val="sr"/>
        </w:rPr>
        <w:t xml:space="preserve">, начелник Одсека за Западни Балкан, </w:t>
      </w:r>
      <w:r>
        <w:rPr>
          <w:sz w:val="24"/>
          <w:szCs w:val="24"/>
          <w:lang w:val="sr"/>
        </w:rPr>
        <w:br/>
        <w:t>у име Европске службе за спољне послове.</w:t>
      </w:r>
    </w:p>
    <w:p w:rsidR="00627A84" w:rsidRPr="00AE5962" w:rsidRDefault="00627A84" w:rsidP="00627A8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Чланови Парламентарног одбора за стабилизацију и придруживање разматрали су следеће теме:</w:t>
      </w:r>
    </w:p>
    <w:p w:rsidR="00627A84" w:rsidRPr="00AE5962" w:rsidRDefault="00627A84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Тренутна ситуација у претприступним преговорима и односима између ЕУ и Србије;</w:t>
      </w:r>
    </w:p>
    <w:p w:rsidR="00627A84" w:rsidRPr="00AE5962" w:rsidRDefault="00627A84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Ситуација у погледу преговарачког поглавља 23, укључујући правосуђе, уставне реформе, основнa правa и слободу медија;</w:t>
      </w:r>
    </w:p>
    <w:p w:rsidR="00627A84" w:rsidRPr="00AE5962" w:rsidRDefault="00627A84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Развој догађаја у економији;</w:t>
      </w:r>
    </w:p>
    <w:p w:rsidR="00627A84" w:rsidRPr="009E2F8D" w:rsidRDefault="00627A84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Најновији развој догађаја у односима између Београда и Приштине;</w:t>
      </w:r>
    </w:p>
    <w:p w:rsidR="00627A84" w:rsidRPr="009E2F8D" w:rsidRDefault="00627A84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sz w:val="24"/>
          <w:szCs w:val="24"/>
          <w:lang w:val="sr"/>
        </w:rPr>
        <w:t>Спољна, безбедносна и одбрамбена политика и сарадња</w:t>
      </w:r>
      <w:r w:rsidR="009A161F">
        <w:rPr>
          <w:color w:val="000000"/>
          <w:sz w:val="24"/>
          <w:szCs w:val="24"/>
          <w:lang w:val="sr-Cyrl-RS"/>
        </w:rPr>
        <w:t>.</w:t>
      </w:r>
    </w:p>
    <w:p w:rsidR="00627A84" w:rsidRPr="00AE5962" w:rsidRDefault="00627A84" w:rsidP="00627A84">
      <w:pPr>
        <w:tabs>
          <w:tab w:val="left" w:pos="426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Парламентарни одбор за стабилизацију и придруживање, у складу са чланом 7. Пословника и чланом 125. Споразума о стабилизацији и придруживању Европске уније и Србије, упућује следећу Декларацију и препоруке Савету за стабилизацију и придруживање и институцијама Србије и Европске Уније:</w:t>
      </w:r>
    </w:p>
    <w:p w:rsidR="00627A84" w:rsidRPr="00AE5962" w:rsidRDefault="00627A84" w:rsidP="00627A84">
      <w:pPr>
        <w:pStyle w:val="BodyAAA"/>
        <w:widowControl/>
        <w:spacing w:after="120"/>
        <w:jc w:val="both"/>
        <w:rPr>
          <w:rFonts w:ascii="Calibri" w:hAnsi="Calibri" w:cs="Calibri"/>
        </w:rPr>
      </w:pPr>
    </w:p>
    <w:p w:rsidR="00627A84" w:rsidRPr="002B6086" w:rsidRDefault="00627A84" w:rsidP="0011646F">
      <w:pPr>
        <w:pStyle w:val="BodyA"/>
        <w:numPr>
          <w:ilvl w:val="0"/>
          <w:numId w:val="3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Поздравља сталан напредак који се остварује у приступним преговорима, што је довело до отварања укупно 12 поглавља, од којих су два привремено затворена; подсећа да је остваривање стабилног напретка земље у оквиру поглавља 23 и 24 о владавини права, као</w:t>
      </w:r>
      <w:r w:rsidR="009A161F">
        <w:rPr>
          <w:rFonts w:ascii="Calibri" w:hAnsi="Calibri" w:cs="Calibri"/>
          <w:lang w:val="sr-Cyrl-RS"/>
        </w:rPr>
        <w:t xml:space="preserve"> и</w:t>
      </w:r>
      <w:r>
        <w:rPr>
          <w:rFonts w:ascii="Calibri" w:hAnsi="Calibri" w:cs="Calibri"/>
          <w:lang w:val="sr"/>
        </w:rPr>
        <w:t xml:space="preserve"> у процесу нормализације односа у оквиру поглавља 35 и даље од суштинског значаја за целокупну динамику процеса преговора, у складу са Преговарачким оквиром и позива на остваривање опипљивог и одрживог напретка у том погледу; позива Савет и Комисију да подрже отварање додатних технички припремљених поглавља и истиче потребу за утемељеним, транспарентним и конструктивним јавним расправама о ЕУ, њеним институцијама и импликацијама чланства; позива Европску комисију и Владу Републике Србије да наставе са координираним радом на повећању видљивости пројеката које финансира ЕУ, како би се стално повећавала свест грађана о практичним резултатима европских интеграција; подржава изгледе Србије за чланство до 2025. године који треба да буду оствариви када Србија буде интензивирала своје реформе у предстојећим годинама;</w:t>
      </w:r>
      <w:bookmarkStart w:id="0" w:name="_GoBack"/>
      <w:bookmarkEnd w:id="0"/>
    </w:p>
    <w:p w:rsidR="00627A84" w:rsidRPr="002B6086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Поздравља посредовање ЕУ у дијалогу између Београда и Приштине на највишем политичком нивоу преко Високе представнице/потпредседнице Могерини и заједнички рад на пуном спровођењу споразума из Брисела како би се остварила свеобухватна нормализација односа у форми правно обавезујућег споразума; изражава забринутост због изостанка напретка на техничком нивоу дијалога; позива на прављење помака у пуном спровођењу свих договора који су постигнути у дијалогу између Београда и Приштине уз посредовање ЕУ, у доброј вери и правовремено, а нарочито апелује да се успостави Заједница српских општина и да се спроведе договор о енергетици; изражава озбиљну забринутост због недавних тензија и употребе силе и истиче да је неопходно суздржавање од сваког деловања, провокативних корака или реторике која није од помоћи и који би могли да угрозе напрадак који је до сада остварен и спрече процес нормализације;</w:t>
      </w:r>
    </w:p>
    <w:p w:rsidR="00627A84" w:rsidRPr="002B6086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/>
          <w:lang w:val="sr"/>
        </w:rPr>
        <w:t>Констатује сталне реформе које Србија спроводи и које су подржале даљи опоравак привреде и довеле до стварања нових радних места; поздравља чињеницу да је Србија остварила значајан напредак у јачању финансијске стабилности, нарочито у погледу буџетског дефицита и чињеницу да је јавни дуг испод нивоа утврђеног критеријумима из Мастрихта; подстиче Србију да још више ради на повећању како јавних, тако и приватних инвестиција и на спровођењу осталих реформи које су представљене у Програму економских реформи, нарочито у областима фискалних правила, енергетских тржишта, управљања порезима, контроли државне помоћи и порезима на рад; истиче огромну улогу малих и средњих предузећа  за привреду Србије и важност постојања програма подршке за њихов развој, нарочито у области ИТ и дигиталне економије; поздравља стабилно унапређење услова за пословање; похваљује Србију због тога што је успоставила нови систем дуалног и стручног образовања како би се решио проблем незапослености младих и истиче важност даљег ширења овог система у сарадњи са другим актерима;</w:t>
      </w:r>
    </w:p>
    <w:p w:rsidR="00627A84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lastRenderedPageBreak/>
        <w:t>Поздравља отварање преговарачких поглавља 6 (право привредних друштава) и 30 (економски односи са иностранством), који треба да помогну консолидовање реформи Србије како би се побољшали пословно окружење и раст даљим</w:t>
      </w:r>
      <w:r w:rsidR="009A161F">
        <w:rPr>
          <w:rFonts w:ascii="Calibri" w:hAnsi="Calibri" w:cs="Calibri"/>
          <w:lang w:val="sr"/>
        </w:rPr>
        <w:t xml:space="preserve"> повећањем трговинских токова;</w:t>
      </w:r>
      <w:r w:rsidR="009A161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"/>
        </w:rPr>
        <w:t>констатује да је право привредних друштава посебно важно за подстицање конкурентности и интегрисање српских предузећа у унутрашње тржиште ЕУ, констатује, међутим, неколико ренумерација члана о „злоупотреби положа</w:t>
      </w:r>
      <w:r w:rsidR="009A161F">
        <w:rPr>
          <w:rFonts w:ascii="Calibri" w:hAnsi="Calibri" w:cs="Calibri"/>
          <w:lang w:val="sr"/>
        </w:rPr>
        <w:t xml:space="preserve">ја одговорног лица“ (члан 227) </w:t>
      </w:r>
      <w:r w:rsidR="009A161F">
        <w:rPr>
          <w:rFonts w:ascii="Calibri" w:hAnsi="Calibri" w:cs="Calibri"/>
          <w:lang w:val="sr-Cyrl-RS"/>
        </w:rPr>
        <w:t>К</w:t>
      </w:r>
      <w:r>
        <w:rPr>
          <w:rFonts w:ascii="Calibri" w:hAnsi="Calibri" w:cs="Calibri"/>
          <w:lang w:val="sr"/>
        </w:rPr>
        <w:t>ривичног законика; констатује да се у оквиру поглавља о економским односима са иностранством, Србија посветила пуном учешћу у трговинској политици ЕУ од дана приступања, као и да треба да спроведе процес приступања СТО;</w:t>
      </w:r>
    </w:p>
    <w:p w:rsidR="00627A84" w:rsidRPr="00627A84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Понавља позив Србији да прогресивно усклади своју спољну и безбедносну политику са политиком ЕУ, у складу са захтевима свог статуса кандидата и захтевима из Споразума о стабилизацији и придруживању; поздравља учешће Србије у четири мисије и операције ЕУ у оквиру спровођења Заједничке безбедносне и одбрамбене политике и у листи борбених група ЕУ, као и њену сарадњу у борби против терористичких претњи, ирегуларних миграција и организованог криминала и у заједничким активностима у оквиру програма „Партнерство за мир”;</w:t>
      </w:r>
    </w:p>
    <w:p w:rsidR="00627A84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/>
          <w:lang w:val="sr"/>
        </w:rPr>
        <w:t>Констатује да је остварен одређени напредак у области правосуђа;</w:t>
      </w:r>
      <w:r>
        <w:rPr>
          <w:rFonts w:ascii="Calibri" w:hAnsi="Calibri"/>
          <w:b/>
          <w:bCs/>
          <w:lang w:val="sr"/>
        </w:rPr>
        <w:t xml:space="preserve"> </w:t>
      </w:r>
      <w:r>
        <w:rPr>
          <w:rFonts w:ascii="Calibri" w:hAnsi="Calibri"/>
          <w:lang w:val="sr"/>
        </w:rPr>
        <w:t xml:space="preserve"> истиче потребу за даљим реформама које гарантују раздвајање власти и јачање независности правосуђа, на основу широког и инклузивног процеса консултација; поздравља то што су релевантни нацрти амандмана на Устав поднети Венецијанској комисији; истиче да пр</w:t>
      </w:r>
      <w:r w:rsidR="009A161F">
        <w:rPr>
          <w:rFonts w:ascii="Calibri" w:hAnsi="Calibri"/>
          <w:lang w:val="sr"/>
        </w:rPr>
        <w:t xml:space="preserve">оцена Венецијанске комисије </w:t>
      </w:r>
      <w:r w:rsidR="009A161F">
        <w:rPr>
          <w:rFonts w:ascii="Calibri" w:hAnsi="Calibri"/>
          <w:lang w:val="sr-Cyrl-RS"/>
        </w:rPr>
        <w:t>треба</w:t>
      </w:r>
      <w:r>
        <w:rPr>
          <w:rFonts w:ascii="Calibri" w:hAnsi="Calibri"/>
          <w:lang w:val="sr"/>
        </w:rPr>
        <w:t xml:space="preserve"> јасно да се одражава у ревидираним нацртима амандмана како би се смањио обим политичког утицаја на правосуђе, у процесу именовања судија и тужилаца; похваљује смањење нерешених предмета и увођење мера за хармонизацију судске праксе, али констатује и изостанак насумичне доделе предмета у свим судовима; позива власти да у потпуности спроведу циљеве и мере утврђене у акционом плану за поглавље 23, укључујући законодавство о бесплатној правној помоћи и заштити података о личности;</w:t>
      </w:r>
    </w:p>
    <w:p w:rsidR="00627A84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Позива Србију да убрза спровођење националне стратегије и акционог плана за борбу против корупције и позива на успостављање почетног система праћења постигнутих резултата  о истрагама, кривичном гоњењу и пресудама у случајевима корупције на високом нивоу и очекује усвајање новог Закона о Агенцији за борбу против корупције, без даљег одлагања; поздравља активну улогу Србије у међународној</w:t>
      </w:r>
      <w:r w:rsidR="009A161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"/>
        </w:rPr>
        <w:t>и регионалној сарадњи између полиције и правосуђа, напредак који је остварен у борби против организованог криминала и усвајање прве српске националне Процене претње од тешког и организованог криминала (SOCTA);</w:t>
      </w:r>
    </w:p>
    <w:p w:rsidR="00627A84" w:rsidRPr="002B6086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Истиче важност парламентарне димензије у процесу приступања ЕУ, као и међусобне сарадње између радних тела националних парл</w:t>
      </w:r>
      <w:r w:rsidR="009A161F">
        <w:rPr>
          <w:rFonts w:ascii="Calibri" w:hAnsi="Calibri" w:cs="Calibri"/>
          <w:lang w:val="sr"/>
        </w:rPr>
        <w:t>амената и Европског парламента;</w:t>
      </w:r>
      <w:r w:rsidR="009A161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"/>
        </w:rPr>
        <w:t xml:space="preserve">констатује да честа употреба хитног поступка и других парламентарних пракси могу умањити делотворност парламента, квалитет и транспарентност процеса доношења закона, при чему не омогућавају увек довољно широке јавне расправе и расправе са заинтересованим странама; истиче </w:t>
      </w:r>
      <w:r>
        <w:rPr>
          <w:rFonts w:ascii="Calibri" w:hAnsi="Calibri" w:cs="Calibri"/>
          <w:lang w:val="sr"/>
        </w:rPr>
        <w:lastRenderedPageBreak/>
        <w:t>да је надзорна функција парламента веома значајна у овом процесу и да стална сарадња са организацијама цивилног друштва (ОЦД) може додатно ојачати парламент у односу на извршну власт; поздравља мере које су предузете ради унапређења транспарентности и процеса консултација, укључујући јавна слушања, редовне састанке и консултације са Националним конвентом о Европској унији (НКЕУ), као важним делом поступка преговора; и похваљује сарадњу између релевантних парламентарних одбора, као и између Одбора за европске интеграције и НКЕУ;</w:t>
      </w:r>
    </w:p>
    <w:p w:rsidR="00627A84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Констатује да је остварен одређени напредак у складу са препорукама ОЕБС/ОДИХР-а са претходних избора; истиче потребу за пуним спровођењем преосталих препорука из завршног извештаја Мисије ОЕБС/ОДИХР-а за посматрање избора, пре свега уважавајући приоритетне препоруке;</w:t>
      </w:r>
    </w:p>
    <w:p w:rsidR="00627A84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/>
          <w:lang w:val="sr"/>
        </w:rPr>
        <w:t xml:space="preserve">Истиче постојање законодавног и институционалног оквира за поштовање међународног права о заштити људских права; истиче да је неопходна стална примена тог оквира у целој земљи и у том смислу подржава даље спровођење акционог плана за права националних мањина и све одрживе активности усмерене на унапређење положаја особа које су припадници рањивих група и мањина, посебно у области образовања, званичне употребе језика, медија и културе мањина, као и адекватне заступљености на свим нивоима јавне управе и правосуђа; поздравља то што је Влада усвојила и поднела у парламентарну процедуру кључне предлоге оквира права мањина, посебно Закона о националним саветима националних мањина; поздравља успостављање добре сарадње између Савета Републике Србије за националне мањине и националних савета националних мањина, као и </w:t>
      </w:r>
      <w:r w:rsidR="006B6C94">
        <w:rPr>
          <w:rFonts w:ascii="Calibri" w:hAnsi="Calibri"/>
          <w:lang w:val="sr-Cyrl-RS"/>
        </w:rPr>
        <w:t xml:space="preserve">чињеницу да је </w:t>
      </w:r>
      <w:r w:rsidR="006B6C94">
        <w:rPr>
          <w:rFonts w:ascii="Calibri" w:hAnsi="Calibri"/>
          <w:lang w:val="sr"/>
        </w:rPr>
        <w:t>повећа</w:t>
      </w:r>
      <w:r w:rsidR="006B6C94">
        <w:rPr>
          <w:rFonts w:ascii="Calibri" w:hAnsi="Calibri"/>
          <w:lang w:val="sr-Cyrl-RS"/>
        </w:rPr>
        <w:t>но</w:t>
      </w:r>
      <w:r>
        <w:rPr>
          <w:rFonts w:ascii="Calibri" w:hAnsi="Calibri"/>
          <w:lang w:val="sr"/>
        </w:rPr>
        <w:t xml:space="preserve"> финансирања Фонда за националне мањине; снажно подржава напредак који је остварен у области образовања мањина и поздравља меморандуме о разумевању са осам националних савета националних мањина о издавању уџбеника на мањинским језицима; подржава проактивно промовисање к</w:t>
      </w:r>
      <w:r w:rsidR="006B6C94">
        <w:rPr>
          <w:rFonts w:ascii="Calibri" w:hAnsi="Calibri"/>
          <w:lang w:val="sr"/>
        </w:rPr>
        <w:t>ултуре инклузије и толеранције;</w:t>
      </w:r>
      <w:r w:rsidR="006B6C94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"/>
        </w:rPr>
        <w:t>поздравља организовање београдске Параде поноса током претходних година; подржава активности које се спроводе у вези са  усвајањем Закона о родној равноправности;</w:t>
      </w:r>
    </w:p>
    <w:p w:rsidR="00627A84" w:rsidRDefault="006D0B87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Понавља важност слободе изражавања и медија и поново позива на остваривање већег напретка у овом смислу; истиче важност спречавања сваке могуће претње новинарима, насиља над њима и застрашивања новинара и у том смислу поздравља Споразум о сарадњи и мерама за подизање нивоа безбедности новинара који су потписали Тужилаштво, Министарство унутрашњих послова и медијска удружења; позива на одлучно унапређење ситуације у погледу слободе изражавања, констатује тврдње о аутоцензури медија; позива на пуно спровођење медијских закона; поздравља иницијативу измене медијске стратегије на инклузиван начин; поздравља унапређење културе новинарства и јачање саморегулаторног система и доследан рад Регулаторног тела за електронске медије; истиче важност потпуне транспарентности у власништву над медијима и финансирању медија;</w:t>
      </w:r>
    </w:p>
    <w:p w:rsidR="00627A84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lastRenderedPageBreak/>
        <w:t>Позива партнере са Западног Балкана да наставе да подстичу атмосферу поштовања и толеранције и да осуђују све облике говора мржње, злочина против човечности и ратних злочина; истиче да је пуна сарадња са Миханизмом за међународне кривичне судове (ММКС) и даље суштински важна; позива да се ратни злочини третирају без дискриминације, да се реши проблем некажњивости и да се обезбеди одговорност; похваљује координациони механизам који је успостављен између тужилаца за ратне злочине Србије, Хрватске и Босне и Херцеговине и апелује на све надлежне да наставе да раде на питању судбине несталих, лоцирању масовних гробница и гарантовању права жртава и њихових породица; охрабрује отвореност српских власти за разговор о отвореним билатерланим питањима и њиховом превазилажењу кроз дијалог; констатује активно учешће Србије у великом броју иницијатива за регионалну сарадњу;</w:t>
      </w:r>
    </w:p>
    <w:p w:rsidR="00627A84" w:rsidRPr="00D00559" w:rsidRDefault="00627A84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Изражава даљу подршку повећаној регионалној сарадњи у оквиру „Берлинског процеса“, укључујући и сарадњу на помирењу које ће бити високо рангирано на дневном реду Самита у Лондону; поздравља резултате који су до сада остварени у оквиру процеса ЗБ6 и позива на даљи развој регионалног привредног подручја (РЕП); поздравља несумњиву подршку европској перспективи Западног Балкана која је поново поптврђена на Самиту у Софији 17. маја 2018. године, као и усвајање Декларације из Софије; подсећа на изјаву да је ЕУ одлучна да ојача и интензивира своју ангажованост на свим нивоима како би подржала политичку, економску и друштвену трансформацију овог региона, укључујући и кроз помоћ партнера Западног Балкана засновану на опипљивом напретку у владавини права, као и у друштвено-економским реформама; снажно подржава обећање партнера са Западног Балкана да ће наставити са оснаживањем добросуседских односа, регионалне стабилности и обостране сарадње.</w:t>
      </w:r>
    </w:p>
    <w:p w:rsidR="00676035" w:rsidRDefault="00676035"/>
    <w:sectPr w:rsidR="00676035" w:rsidSect="006760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7D" w:rsidRDefault="00EF017D" w:rsidP="00627A84">
      <w:pPr>
        <w:spacing w:after="0" w:line="240" w:lineRule="auto"/>
      </w:pPr>
      <w:r>
        <w:separator/>
      </w:r>
    </w:p>
  </w:endnote>
  <w:endnote w:type="continuationSeparator" w:id="0">
    <w:p w:rsidR="00EF017D" w:rsidRDefault="00EF017D" w:rsidP="00627A84">
      <w:pPr>
        <w:spacing w:after="0" w:line="240" w:lineRule="auto"/>
      </w:pPr>
      <w:r>
        <w:continuationSeparator/>
      </w:r>
    </w:p>
  </w:endnote>
  <w:endnote w:type="continuationNotice" w:id="1">
    <w:p w:rsidR="00EF017D" w:rsidRDefault="00EF0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84" w:rsidRDefault="00624354">
    <w:pPr>
      <w:pStyle w:val="Footer"/>
    </w:pPr>
    <w:r>
      <w:rPr>
        <w:lang w:val="sr"/>
      </w:rPr>
      <w:t>14.06.2018.</w:t>
    </w:r>
  </w:p>
  <w:p w:rsidR="00627A84" w:rsidRDefault="00627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7D" w:rsidRDefault="00EF017D" w:rsidP="00627A84">
      <w:pPr>
        <w:spacing w:after="0" w:line="240" w:lineRule="auto"/>
      </w:pPr>
      <w:r>
        <w:separator/>
      </w:r>
    </w:p>
  </w:footnote>
  <w:footnote w:type="continuationSeparator" w:id="0">
    <w:p w:rsidR="00EF017D" w:rsidRDefault="00EF017D" w:rsidP="00627A84">
      <w:pPr>
        <w:spacing w:after="0" w:line="240" w:lineRule="auto"/>
      </w:pPr>
      <w:r>
        <w:continuationSeparator/>
      </w:r>
    </w:p>
  </w:footnote>
  <w:footnote w:type="continuationNotice" w:id="1">
    <w:p w:rsidR="00EF017D" w:rsidRDefault="00EF01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C461884"/>
    <w:multiLevelType w:val="hybridMultilevel"/>
    <w:tmpl w:val="FE7C8830"/>
    <w:numStyleLink w:val="Numbered"/>
  </w:abstractNum>
  <w:abstractNum w:abstractNumId="3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27A84"/>
    <w:rsid w:val="00010492"/>
    <w:rsid w:val="000536DE"/>
    <w:rsid w:val="000C745A"/>
    <w:rsid w:val="0011646F"/>
    <w:rsid w:val="00361D0E"/>
    <w:rsid w:val="00482230"/>
    <w:rsid w:val="00482FE1"/>
    <w:rsid w:val="00501CEE"/>
    <w:rsid w:val="005025B1"/>
    <w:rsid w:val="005A266B"/>
    <w:rsid w:val="006170FA"/>
    <w:rsid w:val="00624354"/>
    <w:rsid w:val="00627A84"/>
    <w:rsid w:val="00673BAC"/>
    <w:rsid w:val="00676035"/>
    <w:rsid w:val="006B6C94"/>
    <w:rsid w:val="006C5530"/>
    <w:rsid w:val="006D0B87"/>
    <w:rsid w:val="00757497"/>
    <w:rsid w:val="008558A2"/>
    <w:rsid w:val="00871A3D"/>
    <w:rsid w:val="00907829"/>
    <w:rsid w:val="00917FC1"/>
    <w:rsid w:val="0093369E"/>
    <w:rsid w:val="009533BB"/>
    <w:rsid w:val="00963DFA"/>
    <w:rsid w:val="009A161F"/>
    <w:rsid w:val="009E6052"/>
    <w:rsid w:val="00AB406A"/>
    <w:rsid w:val="00AD744C"/>
    <w:rsid w:val="00BC1490"/>
    <w:rsid w:val="00CC3CEE"/>
    <w:rsid w:val="00CD0770"/>
    <w:rsid w:val="00D5245D"/>
    <w:rsid w:val="00D57E1B"/>
    <w:rsid w:val="00D7626D"/>
    <w:rsid w:val="00D922EC"/>
    <w:rsid w:val="00DC2BDD"/>
    <w:rsid w:val="00DD3C7A"/>
    <w:rsid w:val="00DE2ECA"/>
    <w:rsid w:val="00E03881"/>
    <w:rsid w:val="00E50237"/>
    <w:rsid w:val="00E644FF"/>
    <w:rsid w:val="00EE41EA"/>
    <w:rsid w:val="00EF017D"/>
    <w:rsid w:val="00F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F261-D91C-4152-BB5C-2B883920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Kristina Stancic</cp:lastModifiedBy>
  <cp:revision>4</cp:revision>
  <cp:lastPrinted>2018-06-14T09:43:00Z</cp:lastPrinted>
  <dcterms:created xsi:type="dcterms:W3CDTF">2018-06-15T08:11:00Z</dcterms:created>
  <dcterms:modified xsi:type="dcterms:W3CDTF">2018-06-15T12:10:00Z</dcterms:modified>
</cp:coreProperties>
</file>